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E923" w14:textId="4E08330C" w:rsidR="00886A5D" w:rsidRDefault="008458EF" w:rsidP="008458EF">
      <w:pPr>
        <w:pStyle w:val="modeltitle"/>
        <w:spacing w:after="240"/>
        <w:rPr>
          <w:sz w:val="28"/>
          <w:szCs w:val="28"/>
        </w:rPr>
      </w:pPr>
      <w:r w:rsidRPr="008458EF">
        <w:rPr>
          <w:sz w:val="28"/>
          <w:szCs w:val="28"/>
        </w:rPr>
        <w:t>BEWAARTERMIJNEN</w:t>
      </w:r>
      <w:r w:rsidR="009B3406">
        <w:rPr>
          <w:sz w:val="28"/>
          <w:szCs w:val="28"/>
        </w:rPr>
        <w:t xml:space="preserve"> en de AVG</w:t>
      </w:r>
    </w:p>
    <w:p w14:paraId="29D6E64E" w14:textId="77777777" w:rsidR="008458EF" w:rsidRPr="009B3406" w:rsidRDefault="008458EF" w:rsidP="009B3406">
      <w:pPr>
        <w:pStyle w:val="Ondertitel"/>
        <w:jc w:val="both"/>
        <w:rPr>
          <w:i/>
          <w:iCs/>
        </w:rPr>
      </w:pPr>
      <w:r w:rsidRPr="009B3406">
        <w:rPr>
          <w:i/>
          <w:iCs/>
          <w:lang w:val="nl-NL"/>
        </w:rPr>
        <w:t xml:space="preserve">Een van de belangrijkste beginselen uit de AVG is het beginsel van ‘opslagbeperking’, neergelegd in artikel 5 lid 1 onder e AVG. </w:t>
      </w:r>
      <w:proofErr w:type="spellStart"/>
      <w:r w:rsidRPr="009B3406">
        <w:rPr>
          <w:i/>
          <w:iCs/>
        </w:rPr>
        <w:t>Dit</w:t>
      </w:r>
      <w:proofErr w:type="spellEnd"/>
      <w:r w:rsidRPr="009B3406">
        <w:rPr>
          <w:i/>
          <w:iCs/>
        </w:rPr>
        <w:t xml:space="preserve"> </w:t>
      </w:r>
      <w:proofErr w:type="spellStart"/>
      <w:r w:rsidRPr="009B3406">
        <w:rPr>
          <w:i/>
          <w:iCs/>
        </w:rPr>
        <w:t>beginsel</w:t>
      </w:r>
      <w:proofErr w:type="spellEnd"/>
      <w:r w:rsidRPr="009B3406">
        <w:rPr>
          <w:i/>
          <w:iCs/>
        </w:rPr>
        <w:t xml:space="preserve"> </w:t>
      </w:r>
      <w:proofErr w:type="spellStart"/>
      <w:r w:rsidRPr="009B3406">
        <w:rPr>
          <w:i/>
          <w:iCs/>
        </w:rPr>
        <w:t>houdt</w:t>
      </w:r>
      <w:proofErr w:type="spellEnd"/>
      <w:r w:rsidRPr="009B3406">
        <w:rPr>
          <w:i/>
          <w:iCs/>
        </w:rPr>
        <w:t xml:space="preserve"> - kort gezegd - in dat persoonsgegevens niet langer bewaard mogen worden dan noodzakelijk is voor het doel van de verwerking. In het kader van het beginsel van opslagbeperking is dit overzicht opgesteld. </w:t>
      </w:r>
    </w:p>
    <w:p w14:paraId="344E19F9" w14:textId="77777777" w:rsidR="008458EF" w:rsidRPr="009559EB" w:rsidRDefault="008458EF" w:rsidP="008458EF"/>
    <w:p w14:paraId="502BAE95" w14:textId="77777777" w:rsidR="008458EF" w:rsidRDefault="008458EF" w:rsidP="008458EF"/>
    <w:p w14:paraId="36D56159" w14:textId="77777777" w:rsidR="008458EF" w:rsidRPr="00C91019" w:rsidRDefault="008458EF" w:rsidP="00886A5D">
      <w:pPr>
        <w:pStyle w:val="modelsubtitleboldleft"/>
        <w:spacing w:after="240"/>
        <w:rPr>
          <w:rFonts w:ascii="Times New Roman" w:hAnsi="Times New Roman"/>
          <w:i/>
          <w:sz w:val="24"/>
          <w:szCs w:val="24"/>
        </w:rPr>
      </w:pPr>
      <w:r w:rsidRPr="00C91019">
        <w:rPr>
          <w:rFonts w:ascii="Times New Roman" w:hAnsi="Times New Roman"/>
          <w:i/>
          <w:sz w:val="24"/>
          <w:szCs w:val="24"/>
        </w:rPr>
        <w:t>1. Sollicitanten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01"/>
        <w:gridCol w:w="2289"/>
      </w:tblGrid>
      <w:tr w:rsidR="008458EF" w:rsidRPr="00886A5D" w14:paraId="12C64241" w14:textId="77777777" w:rsidTr="00886A5D">
        <w:tc>
          <w:tcPr>
            <w:tcW w:w="4077" w:type="dxa"/>
            <w:shd w:val="clear" w:color="auto" w:fill="auto"/>
          </w:tcPr>
          <w:p w14:paraId="3304574B" w14:textId="77777777" w:rsidR="008458EF" w:rsidRPr="00886A5D" w:rsidRDefault="008458EF" w:rsidP="00886A5D">
            <w:pPr>
              <w:rPr>
                <w:b/>
              </w:rPr>
            </w:pPr>
            <w:r w:rsidRPr="00886A5D">
              <w:rPr>
                <w:b/>
              </w:rPr>
              <w:t>Document/gegevens</w:t>
            </w:r>
          </w:p>
        </w:tc>
        <w:tc>
          <w:tcPr>
            <w:tcW w:w="2901" w:type="dxa"/>
            <w:shd w:val="clear" w:color="auto" w:fill="auto"/>
          </w:tcPr>
          <w:p w14:paraId="4895A86B" w14:textId="77777777" w:rsidR="008458EF" w:rsidRPr="00886A5D" w:rsidRDefault="008458EF" w:rsidP="00886A5D">
            <w:pPr>
              <w:rPr>
                <w:b/>
              </w:rPr>
            </w:pPr>
            <w:r w:rsidRPr="00886A5D">
              <w:rPr>
                <w:b/>
              </w:rPr>
              <w:t>Bewaartermijn</w:t>
            </w:r>
          </w:p>
        </w:tc>
        <w:tc>
          <w:tcPr>
            <w:tcW w:w="2289" w:type="dxa"/>
            <w:shd w:val="clear" w:color="auto" w:fill="auto"/>
          </w:tcPr>
          <w:p w14:paraId="306AF859" w14:textId="77777777" w:rsidR="008458EF" w:rsidRPr="00886A5D" w:rsidRDefault="008458EF" w:rsidP="00886A5D">
            <w:pPr>
              <w:rPr>
                <w:b/>
              </w:rPr>
            </w:pPr>
            <w:r w:rsidRPr="00886A5D">
              <w:rPr>
                <w:b/>
              </w:rPr>
              <w:t>Ingangsdatum bewaartermijn</w:t>
            </w:r>
          </w:p>
        </w:tc>
      </w:tr>
      <w:tr w:rsidR="008458EF" w:rsidRPr="00886A5D" w14:paraId="6B1C7877" w14:textId="77777777" w:rsidTr="00886A5D">
        <w:tc>
          <w:tcPr>
            <w:tcW w:w="4077" w:type="dxa"/>
            <w:shd w:val="clear" w:color="auto" w:fill="auto"/>
          </w:tcPr>
          <w:p w14:paraId="5AE87BDF" w14:textId="77777777" w:rsidR="008458EF" w:rsidRPr="008458EF" w:rsidRDefault="008458EF" w:rsidP="00886A5D">
            <w:r w:rsidRPr="008458EF">
              <w:t xml:space="preserve">Sollicitatiebrief, cv van sollicitant, correspondentie omtrent sollicitatie, getuigschriften, referenties, VOG </w:t>
            </w:r>
            <w:r w:rsidRPr="008458EF">
              <w:tab/>
              <w:t xml:space="preserve"> </w:t>
            </w:r>
          </w:p>
        </w:tc>
        <w:tc>
          <w:tcPr>
            <w:tcW w:w="2901" w:type="dxa"/>
            <w:shd w:val="clear" w:color="auto" w:fill="auto"/>
          </w:tcPr>
          <w:p w14:paraId="23E5060F" w14:textId="77777777" w:rsidR="008458EF" w:rsidRPr="008458EF" w:rsidRDefault="008458EF" w:rsidP="00886A5D">
            <w:r w:rsidRPr="008458EF">
              <w:t>Uiterlijk vier weken bewaren zonder toestemming óf uiterlijk een jaar bewaren met toestemming van de sollicitant</w:t>
            </w:r>
            <w:r w:rsidRPr="008458EF">
              <w:tab/>
            </w:r>
          </w:p>
        </w:tc>
        <w:tc>
          <w:tcPr>
            <w:tcW w:w="2289" w:type="dxa"/>
            <w:shd w:val="clear" w:color="auto" w:fill="auto"/>
          </w:tcPr>
          <w:p w14:paraId="24264471" w14:textId="77777777" w:rsidR="008458EF" w:rsidRPr="008458EF" w:rsidRDefault="008458EF" w:rsidP="00886A5D">
            <w:proofErr w:type="gramStart"/>
            <w:r w:rsidRPr="008458EF">
              <w:t>Na</w:t>
            </w:r>
            <w:proofErr w:type="gramEnd"/>
            <w:r w:rsidRPr="008458EF">
              <w:t xml:space="preserve"> beëindiging sollicitatieprocedure</w:t>
            </w:r>
          </w:p>
        </w:tc>
      </w:tr>
    </w:tbl>
    <w:p w14:paraId="3E467021" w14:textId="77777777" w:rsidR="008458EF" w:rsidRDefault="008458EF" w:rsidP="008458EF"/>
    <w:p w14:paraId="2F48886B" w14:textId="77777777" w:rsidR="008458EF" w:rsidRPr="00C91019" w:rsidRDefault="008458EF" w:rsidP="00886A5D">
      <w:pPr>
        <w:pStyle w:val="modelsubtitleboldleft"/>
        <w:spacing w:after="240"/>
        <w:rPr>
          <w:rFonts w:ascii="Times New Roman" w:hAnsi="Times New Roman"/>
          <w:i/>
          <w:sz w:val="24"/>
          <w:szCs w:val="24"/>
        </w:rPr>
      </w:pPr>
      <w:r w:rsidRPr="00C91019">
        <w:rPr>
          <w:rFonts w:ascii="Times New Roman" w:hAnsi="Times New Roman"/>
          <w:i/>
          <w:sz w:val="24"/>
          <w:szCs w:val="24"/>
        </w:rPr>
        <w:t>2.</w:t>
      </w:r>
      <w:r w:rsidR="00C91019">
        <w:rPr>
          <w:rFonts w:ascii="Times New Roman" w:hAnsi="Times New Roman"/>
          <w:i/>
          <w:sz w:val="24"/>
          <w:szCs w:val="24"/>
        </w:rPr>
        <w:t xml:space="preserve"> </w:t>
      </w:r>
      <w:r w:rsidRPr="00C91019">
        <w:rPr>
          <w:rFonts w:ascii="Times New Roman" w:hAnsi="Times New Roman"/>
          <w:i/>
          <w:sz w:val="24"/>
          <w:szCs w:val="24"/>
        </w:rPr>
        <w:t>Werknemers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2769"/>
        <w:gridCol w:w="2355"/>
      </w:tblGrid>
      <w:tr w:rsidR="00C76B38" w:rsidRPr="00886A5D" w14:paraId="026108C5" w14:textId="77777777" w:rsidTr="00886A5D">
        <w:tc>
          <w:tcPr>
            <w:tcW w:w="4143" w:type="dxa"/>
            <w:shd w:val="clear" w:color="auto" w:fill="auto"/>
          </w:tcPr>
          <w:p w14:paraId="0CA62FF7" w14:textId="77777777" w:rsidR="00C76B38" w:rsidRPr="00886A5D" w:rsidRDefault="00C76B38" w:rsidP="00886A5D">
            <w:pPr>
              <w:rPr>
                <w:b/>
              </w:rPr>
            </w:pPr>
            <w:r w:rsidRPr="00886A5D">
              <w:rPr>
                <w:b/>
              </w:rPr>
              <w:t>Document/gegevens</w:t>
            </w:r>
          </w:p>
        </w:tc>
        <w:tc>
          <w:tcPr>
            <w:tcW w:w="2769" w:type="dxa"/>
            <w:shd w:val="clear" w:color="auto" w:fill="auto"/>
          </w:tcPr>
          <w:p w14:paraId="5E8AC7F5" w14:textId="77777777" w:rsidR="00C76B38" w:rsidRPr="00886A5D" w:rsidRDefault="00C76B38" w:rsidP="00886A5D">
            <w:pPr>
              <w:rPr>
                <w:b/>
              </w:rPr>
            </w:pPr>
            <w:r w:rsidRPr="00886A5D">
              <w:rPr>
                <w:b/>
              </w:rPr>
              <w:t>Bewaartermijn</w:t>
            </w:r>
          </w:p>
        </w:tc>
        <w:tc>
          <w:tcPr>
            <w:tcW w:w="2355" w:type="dxa"/>
            <w:shd w:val="clear" w:color="auto" w:fill="auto"/>
          </w:tcPr>
          <w:p w14:paraId="0D25E8CF" w14:textId="77777777" w:rsidR="00C76B38" w:rsidRPr="00886A5D" w:rsidRDefault="00C76B38" w:rsidP="00886A5D">
            <w:pPr>
              <w:rPr>
                <w:b/>
              </w:rPr>
            </w:pPr>
            <w:r w:rsidRPr="00886A5D">
              <w:rPr>
                <w:b/>
              </w:rPr>
              <w:t>Ingangsdatum bewaartermijn</w:t>
            </w:r>
          </w:p>
        </w:tc>
      </w:tr>
      <w:tr w:rsidR="00C76B38" w:rsidRPr="00886A5D" w14:paraId="0C38CB17" w14:textId="77777777" w:rsidTr="00886A5D">
        <w:tc>
          <w:tcPr>
            <w:tcW w:w="4143" w:type="dxa"/>
            <w:shd w:val="clear" w:color="auto" w:fill="auto"/>
          </w:tcPr>
          <w:p w14:paraId="5F9A308D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Arbeidsovereenkomsten (inclusief wijzigingen en aanhangsels) </w:t>
            </w:r>
          </w:p>
        </w:tc>
        <w:tc>
          <w:tcPr>
            <w:tcW w:w="2769" w:type="dxa"/>
            <w:shd w:val="clear" w:color="auto" w:fill="auto"/>
          </w:tcPr>
          <w:p w14:paraId="394579E7" w14:textId="77777777" w:rsidR="00C76B38" w:rsidRPr="00886A5D" w:rsidRDefault="00C76B38" w:rsidP="00886A5D">
            <w:r w:rsidRPr="00886A5D">
              <w:t xml:space="preserve">Max. twee jaar </w:t>
            </w:r>
          </w:p>
        </w:tc>
        <w:tc>
          <w:tcPr>
            <w:tcW w:w="2355" w:type="dxa"/>
            <w:shd w:val="clear" w:color="auto" w:fill="auto"/>
          </w:tcPr>
          <w:p w14:paraId="396253E2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Na het einde van het dienstverband </w:t>
            </w:r>
          </w:p>
        </w:tc>
      </w:tr>
      <w:tr w:rsidR="00C76B38" w:rsidRPr="00886A5D" w14:paraId="0E9657AC" w14:textId="77777777" w:rsidTr="00886A5D">
        <w:tc>
          <w:tcPr>
            <w:tcW w:w="4143" w:type="dxa"/>
            <w:shd w:val="clear" w:color="auto" w:fill="auto"/>
          </w:tcPr>
          <w:p w14:paraId="79D3D77E" w14:textId="77777777" w:rsidR="00C76B38" w:rsidRPr="00886A5D" w:rsidRDefault="00886A5D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>C</w:t>
            </w:r>
            <w:r w:rsidR="00C76B38" w:rsidRPr="00886A5D">
              <w:rPr>
                <w:lang w:val="nl-NL"/>
              </w:rPr>
              <w:t xml:space="preserve">orrespondentie rondom ontslag, promotie, demotie, benoemingen en sollicitatieprocedure van werknemers </w:t>
            </w:r>
          </w:p>
        </w:tc>
        <w:tc>
          <w:tcPr>
            <w:tcW w:w="2769" w:type="dxa"/>
            <w:shd w:val="clear" w:color="auto" w:fill="auto"/>
          </w:tcPr>
          <w:p w14:paraId="4EFEE812" w14:textId="77777777" w:rsidR="00C76B38" w:rsidRPr="00886A5D" w:rsidRDefault="00C76B38" w:rsidP="00886A5D">
            <w:r w:rsidRPr="00886A5D">
              <w:t xml:space="preserve">Max. twee jaar </w:t>
            </w:r>
          </w:p>
        </w:tc>
        <w:tc>
          <w:tcPr>
            <w:tcW w:w="2355" w:type="dxa"/>
            <w:shd w:val="clear" w:color="auto" w:fill="auto"/>
          </w:tcPr>
          <w:p w14:paraId="2419D893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>Na het einde van het dienstverband</w:t>
            </w:r>
          </w:p>
        </w:tc>
      </w:tr>
      <w:tr w:rsidR="00C76B38" w:rsidRPr="00886A5D" w14:paraId="12897192" w14:textId="77777777" w:rsidTr="00886A5D">
        <w:tc>
          <w:tcPr>
            <w:tcW w:w="4143" w:type="dxa"/>
            <w:shd w:val="clear" w:color="auto" w:fill="auto"/>
          </w:tcPr>
          <w:p w14:paraId="38AE13E9" w14:textId="77777777" w:rsidR="00C76B38" w:rsidRPr="00886A5D" w:rsidRDefault="00C76B38" w:rsidP="00886A5D">
            <w:r w:rsidRPr="00886A5D">
              <w:t xml:space="preserve">Correspondentie UWV en bedrijfsarts </w:t>
            </w:r>
          </w:p>
        </w:tc>
        <w:tc>
          <w:tcPr>
            <w:tcW w:w="2769" w:type="dxa"/>
            <w:shd w:val="clear" w:color="auto" w:fill="auto"/>
          </w:tcPr>
          <w:p w14:paraId="093EB4DA" w14:textId="77777777" w:rsidR="00C76B38" w:rsidRPr="00886A5D" w:rsidRDefault="00C76B38" w:rsidP="00886A5D">
            <w:r w:rsidRPr="00886A5D">
              <w:t xml:space="preserve">Max. twee jaar </w:t>
            </w:r>
          </w:p>
        </w:tc>
        <w:tc>
          <w:tcPr>
            <w:tcW w:w="2355" w:type="dxa"/>
            <w:shd w:val="clear" w:color="auto" w:fill="auto"/>
          </w:tcPr>
          <w:p w14:paraId="45ACD58E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>Na het einde van het dienstverband</w:t>
            </w:r>
          </w:p>
        </w:tc>
      </w:tr>
      <w:tr w:rsidR="00C76B38" w:rsidRPr="00886A5D" w14:paraId="7ED45ABC" w14:textId="77777777" w:rsidTr="00886A5D">
        <w:tc>
          <w:tcPr>
            <w:tcW w:w="4143" w:type="dxa"/>
            <w:shd w:val="clear" w:color="auto" w:fill="auto"/>
          </w:tcPr>
          <w:p w14:paraId="3DD69E5E" w14:textId="77777777" w:rsidR="00C76B38" w:rsidRPr="00886A5D" w:rsidRDefault="00C76B38" w:rsidP="00886A5D">
            <w:r w:rsidRPr="00886A5D">
              <w:t xml:space="preserve">Gegevens zieke werknemer </w:t>
            </w:r>
          </w:p>
        </w:tc>
        <w:tc>
          <w:tcPr>
            <w:tcW w:w="2769" w:type="dxa"/>
            <w:shd w:val="clear" w:color="auto" w:fill="auto"/>
          </w:tcPr>
          <w:p w14:paraId="6D865C0E" w14:textId="77777777" w:rsidR="00C76B38" w:rsidRPr="00886A5D" w:rsidRDefault="00C76B38" w:rsidP="00886A5D">
            <w:r w:rsidRPr="00886A5D">
              <w:t xml:space="preserve">Max. twee jaar </w:t>
            </w:r>
          </w:p>
        </w:tc>
        <w:tc>
          <w:tcPr>
            <w:tcW w:w="2355" w:type="dxa"/>
            <w:shd w:val="clear" w:color="auto" w:fill="auto"/>
          </w:tcPr>
          <w:p w14:paraId="5686721B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>Na het einde van het dienstverband</w:t>
            </w:r>
          </w:p>
        </w:tc>
      </w:tr>
      <w:tr w:rsidR="00C76B38" w:rsidRPr="00886A5D" w14:paraId="20FE759E" w14:textId="77777777" w:rsidTr="00886A5D">
        <w:tc>
          <w:tcPr>
            <w:tcW w:w="4143" w:type="dxa"/>
            <w:shd w:val="clear" w:color="auto" w:fill="auto"/>
          </w:tcPr>
          <w:p w14:paraId="33A9D1D6" w14:textId="77777777" w:rsidR="00C76B38" w:rsidRPr="00886A5D" w:rsidRDefault="00C76B38" w:rsidP="00886A5D">
            <w:r w:rsidRPr="00886A5D">
              <w:t xml:space="preserve">Opleidingsgegevens </w:t>
            </w:r>
          </w:p>
        </w:tc>
        <w:tc>
          <w:tcPr>
            <w:tcW w:w="2769" w:type="dxa"/>
            <w:shd w:val="clear" w:color="auto" w:fill="auto"/>
          </w:tcPr>
          <w:p w14:paraId="14E3DC2E" w14:textId="77777777" w:rsidR="00C76B38" w:rsidRPr="00886A5D" w:rsidRDefault="00C76B38" w:rsidP="00886A5D">
            <w:r w:rsidRPr="00886A5D">
              <w:t xml:space="preserve">Max. twee jaar </w:t>
            </w:r>
          </w:p>
        </w:tc>
        <w:tc>
          <w:tcPr>
            <w:tcW w:w="2355" w:type="dxa"/>
            <w:shd w:val="clear" w:color="auto" w:fill="auto"/>
          </w:tcPr>
          <w:p w14:paraId="04829799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>Na het einde van het dienstverband</w:t>
            </w:r>
          </w:p>
        </w:tc>
      </w:tr>
      <w:tr w:rsidR="00C76B38" w:rsidRPr="00886A5D" w14:paraId="2B59465D" w14:textId="77777777" w:rsidTr="00886A5D">
        <w:tc>
          <w:tcPr>
            <w:tcW w:w="4143" w:type="dxa"/>
            <w:shd w:val="clear" w:color="auto" w:fill="auto"/>
          </w:tcPr>
          <w:p w14:paraId="5CF2E83E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Verslagen functionerings- en beoordelingsgesprekken, financiële problemen werknemer, probleemsituaties </w:t>
            </w:r>
          </w:p>
        </w:tc>
        <w:tc>
          <w:tcPr>
            <w:tcW w:w="2769" w:type="dxa"/>
            <w:shd w:val="clear" w:color="auto" w:fill="auto"/>
          </w:tcPr>
          <w:p w14:paraId="6DC4750D" w14:textId="77777777" w:rsidR="00C76B38" w:rsidRPr="00886A5D" w:rsidRDefault="00C76B38" w:rsidP="00886A5D">
            <w:r w:rsidRPr="00886A5D">
              <w:t xml:space="preserve">Max. twee jaar </w:t>
            </w:r>
          </w:p>
        </w:tc>
        <w:tc>
          <w:tcPr>
            <w:tcW w:w="2355" w:type="dxa"/>
            <w:shd w:val="clear" w:color="auto" w:fill="auto"/>
          </w:tcPr>
          <w:p w14:paraId="24CB6E75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>Na het einde van het dienstverband</w:t>
            </w:r>
          </w:p>
        </w:tc>
      </w:tr>
      <w:tr w:rsidR="00C76B38" w:rsidRPr="00886A5D" w14:paraId="3706EDFC" w14:textId="77777777" w:rsidTr="00886A5D">
        <w:tc>
          <w:tcPr>
            <w:tcW w:w="4143" w:type="dxa"/>
            <w:shd w:val="clear" w:color="auto" w:fill="auto"/>
          </w:tcPr>
          <w:p w14:paraId="1AED18AE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Verslagen in het kader van de Wet verbetering poortwachter </w:t>
            </w:r>
          </w:p>
        </w:tc>
        <w:tc>
          <w:tcPr>
            <w:tcW w:w="2769" w:type="dxa"/>
            <w:shd w:val="clear" w:color="auto" w:fill="auto"/>
          </w:tcPr>
          <w:p w14:paraId="14D89C36" w14:textId="77777777" w:rsidR="00C76B38" w:rsidRPr="00886A5D" w:rsidRDefault="00C76B38" w:rsidP="00886A5D">
            <w:r w:rsidRPr="00886A5D">
              <w:t xml:space="preserve">Max. twee jaar </w:t>
            </w:r>
          </w:p>
        </w:tc>
        <w:tc>
          <w:tcPr>
            <w:tcW w:w="2355" w:type="dxa"/>
            <w:shd w:val="clear" w:color="auto" w:fill="auto"/>
          </w:tcPr>
          <w:p w14:paraId="54ED84A7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>Na het einde van het dienstverband</w:t>
            </w:r>
          </w:p>
        </w:tc>
      </w:tr>
      <w:tr w:rsidR="00C76B38" w:rsidRPr="00886A5D" w14:paraId="1B46244B" w14:textId="77777777" w:rsidTr="00886A5D">
        <w:tc>
          <w:tcPr>
            <w:tcW w:w="4143" w:type="dxa"/>
            <w:shd w:val="clear" w:color="auto" w:fill="auto"/>
          </w:tcPr>
          <w:p w14:paraId="1FE4A4EE" w14:textId="77777777" w:rsidR="00C76B38" w:rsidRPr="00886A5D" w:rsidRDefault="00C76B38" w:rsidP="00886A5D">
            <w:r w:rsidRPr="00886A5D">
              <w:t xml:space="preserve">Kopie identiteitsbewijs </w:t>
            </w:r>
          </w:p>
        </w:tc>
        <w:tc>
          <w:tcPr>
            <w:tcW w:w="2769" w:type="dxa"/>
            <w:shd w:val="clear" w:color="auto" w:fill="auto"/>
          </w:tcPr>
          <w:p w14:paraId="219803C6" w14:textId="77777777" w:rsidR="00C76B38" w:rsidRPr="00886A5D" w:rsidRDefault="00C76B38" w:rsidP="00886A5D">
            <w:r w:rsidRPr="00886A5D">
              <w:t xml:space="preserve">Min. vijf jaar </w:t>
            </w:r>
          </w:p>
        </w:tc>
        <w:tc>
          <w:tcPr>
            <w:tcW w:w="2355" w:type="dxa"/>
            <w:shd w:val="clear" w:color="auto" w:fill="auto"/>
          </w:tcPr>
          <w:p w14:paraId="5FD57714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Na het einde van het kalenderjaar waarin de dienstbetrekking is geëindigd </w:t>
            </w:r>
          </w:p>
        </w:tc>
      </w:tr>
      <w:tr w:rsidR="00C76B38" w:rsidRPr="00886A5D" w14:paraId="473A2D50" w14:textId="77777777" w:rsidTr="00886A5D">
        <w:tc>
          <w:tcPr>
            <w:tcW w:w="4143" w:type="dxa"/>
            <w:shd w:val="clear" w:color="auto" w:fill="auto"/>
          </w:tcPr>
          <w:p w14:paraId="6CEB058B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Kopie identiteitsbewijs derden/ingeleende werknemers met tewerkstellingsvergunning </w:t>
            </w:r>
          </w:p>
        </w:tc>
        <w:tc>
          <w:tcPr>
            <w:tcW w:w="2769" w:type="dxa"/>
            <w:shd w:val="clear" w:color="auto" w:fill="auto"/>
          </w:tcPr>
          <w:p w14:paraId="0F409D76" w14:textId="77777777" w:rsidR="00C76B38" w:rsidRPr="00886A5D" w:rsidRDefault="00C76B38" w:rsidP="00886A5D">
            <w:r w:rsidRPr="00886A5D">
              <w:t xml:space="preserve">Min. vijf jaar </w:t>
            </w:r>
          </w:p>
        </w:tc>
        <w:tc>
          <w:tcPr>
            <w:tcW w:w="2355" w:type="dxa"/>
            <w:shd w:val="clear" w:color="auto" w:fill="auto"/>
          </w:tcPr>
          <w:p w14:paraId="3CE56400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Na het einde van het kalenderjaar waarin de dienstbetrekking is geëindigd </w:t>
            </w:r>
          </w:p>
        </w:tc>
      </w:tr>
      <w:tr w:rsidR="00C76B38" w:rsidRPr="00886A5D" w14:paraId="4F3F58A4" w14:textId="77777777" w:rsidTr="00886A5D">
        <w:tc>
          <w:tcPr>
            <w:tcW w:w="4143" w:type="dxa"/>
            <w:shd w:val="clear" w:color="auto" w:fill="auto"/>
          </w:tcPr>
          <w:p w14:paraId="1DE943AF" w14:textId="77777777" w:rsidR="00C76B38" w:rsidRPr="00886A5D" w:rsidRDefault="00C76B38" w:rsidP="00886A5D">
            <w:r w:rsidRPr="00886A5D">
              <w:t xml:space="preserve">Loonbelastingverklaringen </w:t>
            </w:r>
          </w:p>
        </w:tc>
        <w:tc>
          <w:tcPr>
            <w:tcW w:w="2769" w:type="dxa"/>
            <w:shd w:val="clear" w:color="auto" w:fill="auto"/>
          </w:tcPr>
          <w:p w14:paraId="18D66073" w14:textId="77777777" w:rsidR="00C76B38" w:rsidRPr="00886A5D" w:rsidRDefault="00C76B38" w:rsidP="00886A5D">
            <w:r w:rsidRPr="00886A5D">
              <w:t xml:space="preserve">Min. vijf jaar </w:t>
            </w:r>
          </w:p>
        </w:tc>
        <w:tc>
          <w:tcPr>
            <w:tcW w:w="2355" w:type="dxa"/>
            <w:shd w:val="clear" w:color="auto" w:fill="auto"/>
          </w:tcPr>
          <w:p w14:paraId="733EE761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Na het einde van het kalenderjaar waarin </w:t>
            </w:r>
            <w:r w:rsidRPr="00886A5D">
              <w:rPr>
                <w:lang w:val="nl-NL"/>
              </w:rPr>
              <w:lastRenderedPageBreak/>
              <w:t xml:space="preserve">de dienstbetrekking is geëindigd </w:t>
            </w:r>
          </w:p>
        </w:tc>
      </w:tr>
      <w:tr w:rsidR="00C76B38" w:rsidRPr="00886A5D" w14:paraId="1E83B80F" w14:textId="77777777" w:rsidTr="00886A5D">
        <w:tc>
          <w:tcPr>
            <w:tcW w:w="4143" w:type="dxa"/>
            <w:shd w:val="clear" w:color="auto" w:fill="auto"/>
          </w:tcPr>
          <w:p w14:paraId="4C3874B4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lastRenderedPageBreak/>
              <w:t xml:space="preserve">Pensioengegevens en –stukken, burgerlijke staat, stamkaart, arbeidsvoorwaarden over samenleving en partnerschap </w:t>
            </w:r>
          </w:p>
        </w:tc>
        <w:tc>
          <w:tcPr>
            <w:tcW w:w="2769" w:type="dxa"/>
            <w:shd w:val="clear" w:color="auto" w:fill="auto"/>
          </w:tcPr>
          <w:p w14:paraId="2CE1F129" w14:textId="77777777" w:rsidR="00C76B38" w:rsidRPr="00886A5D" w:rsidRDefault="00C76B38" w:rsidP="00886A5D">
            <w:r w:rsidRPr="00886A5D">
              <w:t xml:space="preserve">Min. zeven jaar </w:t>
            </w:r>
          </w:p>
        </w:tc>
        <w:tc>
          <w:tcPr>
            <w:tcW w:w="2355" w:type="dxa"/>
            <w:shd w:val="clear" w:color="auto" w:fill="auto"/>
          </w:tcPr>
          <w:p w14:paraId="72ED8E94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Na het boekjaar waarop ze betrekking hebben </w:t>
            </w:r>
          </w:p>
        </w:tc>
      </w:tr>
      <w:tr w:rsidR="00C76B38" w:rsidRPr="00886A5D" w14:paraId="2ADA507F" w14:textId="77777777" w:rsidTr="00886A5D">
        <w:tc>
          <w:tcPr>
            <w:tcW w:w="4143" w:type="dxa"/>
            <w:shd w:val="clear" w:color="auto" w:fill="auto"/>
          </w:tcPr>
          <w:p w14:paraId="3E38C754" w14:textId="77777777" w:rsidR="00C76B38" w:rsidRPr="00886A5D" w:rsidRDefault="00C76B38" w:rsidP="00886A5D">
            <w:r w:rsidRPr="00886A5D">
              <w:t xml:space="preserve">Salarisafspraken en voorwaarden </w:t>
            </w:r>
          </w:p>
        </w:tc>
        <w:tc>
          <w:tcPr>
            <w:tcW w:w="2769" w:type="dxa"/>
            <w:shd w:val="clear" w:color="auto" w:fill="auto"/>
          </w:tcPr>
          <w:p w14:paraId="2343BDFB" w14:textId="77777777" w:rsidR="00C76B38" w:rsidRPr="00886A5D" w:rsidRDefault="00C76B38" w:rsidP="00886A5D">
            <w:r w:rsidRPr="00886A5D">
              <w:t xml:space="preserve">Min zeven jaar </w:t>
            </w:r>
          </w:p>
        </w:tc>
        <w:tc>
          <w:tcPr>
            <w:tcW w:w="2355" w:type="dxa"/>
            <w:shd w:val="clear" w:color="auto" w:fill="auto"/>
          </w:tcPr>
          <w:p w14:paraId="78DBFF33" w14:textId="77777777" w:rsidR="00C76B38" w:rsidRPr="00886A5D" w:rsidRDefault="00C76B38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>Na het einde van het dienstverband</w:t>
            </w:r>
          </w:p>
        </w:tc>
      </w:tr>
    </w:tbl>
    <w:p w14:paraId="144EF37A" w14:textId="77777777" w:rsidR="008458EF" w:rsidRPr="00C76B38" w:rsidRDefault="008458EF" w:rsidP="008458EF">
      <w:pPr>
        <w:rPr>
          <w:lang w:val="nl-NL"/>
        </w:rPr>
      </w:pPr>
    </w:p>
    <w:p w14:paraId="33DF52E8" w14:textId="77777777" w:rsidR="008458EF" w:rsidRPr="00C91019" w:rsidRDefault="008458EF" w:rsidP="008458EF">
      <w:pPr>
        <w:pStyle w:val="modelsubtitleboldleft"/>
        <w:rPr>
          <w:rFonts w:ascii="Times New Roman" w:hAnsi="Times New Roman"/>
          <w:i/>
          <w:sz w:val="24"/>
          <w:szCs w:val="24"/>
        </w:rPr>
      </w:pPr>
      <w:r w:rsidRPr="00C91019">
        <w:rPr>
          <w:rFonts w:ascii="Times New Roman" w:hAnsi="Times New Roman"/>
          <w:i/>
          <w:sz w:val="24"/>
          <w:szCs w:val="24"/>
        </w:rPr>
        <w:t>3.</w:t>
      </w:r>
      <w:r w:rsidR="00C91019">
        <w:rPr>
          <w:rFonts w:ascii="Times New Roman" w:hAnsi="Times New Roman"/>
          <w:i/>
          <w:sz w:val="24"/>
          <w:szCs w:val="24"/>
        </w:rPr>
        <w:t xml:space="preserve"> </w:t>
      </w:r>
      <w:r w:rsidRPr="00C91019">
        <w:rPr>
          <w:rFonts w:ascii="Times New Roman" w:hAnsi="Times New Roman"/>
          <w:i/>
          <w:sz w:val="24"/>
          <w:szCs w:val="24"/>
        </w:rPr>
        <w:t>Klanten/cliënten en overige partijen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2880"/>
        <w:gridCol w:w="2268"/>
      </w:tblGrid>
      <w:tr w:rsidR="00886A5D" w:rsidRPr="00886A5D" w14:paraId="3E0ECB94" w14:textId="77777777" w:rsidTr="00886A5D">
        <w:tc>
          <w:tcPr>
            <w:tcW w:w="4032" w:type="dxa"/>
            <w:shd w:val="clear" w:color="auto" w:fill="auto"/>
          </w:tcPr>
          <w:p w14:paraId="197C61FB" w14:textId="77777777" w:rsidR="00886A5D" w:rsidRPr="00886A5D" w:rsidRDefault="00886A5D" w:rsidP="00886A5D">
            <w:pPr>
              <w:rPr>
                <w:b/>
              </w:rPr>
            </w:pPr>
            <w:r w:rsidRPr="00886A5D">
              <w:rPr>
                <w:b/>
              </w:rPr>
              <w:t>Document/gegevens</w:t>
            </w:r>
          </w:p>
        </w:tc>
        <w:tc>
          <w:tcPr>
            <w:tcW w:w="2880" w:type="dxa"/>
            <w:shd w:val="clear" w:color="auto" w:fill="auto"/>
          </w:tcPr>
          <w:p w14:paraId="53C7898A" w14:textId="77777777" w:rsidR="00886A5D" w:rsidRPr="00886A5D" w:rsidRDefault="00886A5D" w:rsidP="00886A5D">
            <w:pPr>
              <w:rPr>
                <w:b/>
              </w:rPr>
            </w:pPr>
            <w:r w:rsidRPr="00886A5D">
              <w:rPr>
                <w:b/>
              </w:rPr>
              <w:t>Bewaartermijn</w:t>
            </w:r>
          </w:p>
        </w:tc>
        <w:tc>
          <w:tcPr>
            <w:tcW w:w="2268" w:type="dxa"/>
            <w:shd w:val="clear" w:color="auto" w:fill="auto"/>
          </w:tcPr>
          <w:p w14:paraId="28F4452E" w14:textId="77777777" w:rsidR="00886A5D" w:rsidRPr="00886A5D" w:rsidRDefault="00886A5D" w:rsidP="00886A5D">
            <w:pPr>
              <w:rPr>
                <w:b/>
              </w:rPr>
            </w:pPr>
            <w:r w:rsidRPr="00886A5D">
              <w:rPr>
                <w:b/>
              </w:rPr>
              <w:t>Ingangsdatum bewaartermijn</w:t>
            </w:r>
          </w:p>
        </w:tc>
      </w:tr>
      <w:tr w:rsidR="00886A5D" w:rsidRPr="00886A5D" w14:paraId="50C0E541" w14:textId="77777777" w:rsidTr="00886A5D">
        <w:tc>
          <w:tcPr>
            <w:tcW w:w="4032" w:type="dxa"/>
            <w:shd w:val="clear" w:color="auto" w:fill="auto"/>
          </w:tcPr>
          <w:p w14:paraId="58A4CCBF" w14:textId="77777777" w:rsidR="00886A5D" w:rsidRPr="00886A5D" w:rsidRDefault="00886A5D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Administratieve gegevens zoals facturen, bonnen, bankafschriften en bewijzen van uitgaven en inkomsten </w:t>
            </w:r>
          </w:p>
        </w:tc>
        <w:tc>
          <w:tcPr>
            <w:tcW w:w="2880" w:type="dxa"/>
            <w:shd w:val="clear" w:color="auto" w:fill="auto"/>
          </w:tcPr>
          <w:p w14:paraId="454FAF60" w14:textId="77777777" w:rsidR="00886A5D" w:rsidRPr="00886A5D" w:rsidRDefault="00886A5D" w:rsidP="00886A5D">
            <w:pPr>
              <w:rPr>
                <w:lang w:val="en-GB"/>
              </w:rPr>
            </w:pPr>
            <w:r w:rsidRPr="00886A5D">
              <w:rPr>
                <w:lang w:val="en-GB"/>
              </w:rPr>
              <w:t xml:space="preserve">Min. </w:t>
            </w:r>
            <w:proofErr w:type="spellStart"/>
            <w:r w:rsidRPr="00886A5D">
              <w:rPr>
                <w:lang w:val="en-GB"/>
              </w:rPr>
              <w:t>zeven</w:t>
            </w:r>
            <w:proofErr w:type="spellEnd"/>
            <w:r w:rsidRPr="00886A5D">
              <w:rPr>
                <w:lang w:val="en-GB"/>
              </w:rPr>
              <w:t xml:space="preserve"> </w:t>
            </w:r>
            <w:proofErr w:type="spellStart"/>
            <w:r w:rsidRPr="00886A5D">
              <w:rPr>
                <w:lang w:val="en-GB"/>
              </w:rPr>
              <w:t>jaar</w:t>
            </w:r>
            <w:proofErr w:type="spellEnd"/>
            <w:r w:rsidRPr="00886A5D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D07D69C" w14:textId="77777777" w:rsidR="00886A5D" w:rsidRPr="00886A5D" w:rsidRDefault="00886A5D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Na de eerste verwerking c.q. registratie van gegevens </w:t>
            </w:r>
          </w:p>
        </w:tc>
      </w:tr>
      <w:tr w:rsidR="00886A5D" w:rsidRPr="00886A5D" w14:paraId="53E5EF32" w14:textId="77777777" w:rsidTr="00886A5D">
        <w:tc>
          <w:tcPr>
            <w:tcW w:w="4032" w:type="dxa"/>
            <w:shd w:val="clear" w:color="auto" w:fill="auto"/>
          </w:tcPr>
          <w:p w14:paraId="1327CC80" w14:textId="77777777" w:rsidR="00886A5D" w:rsidRPr="00886A5D" w:rsidRDefault="00886A5D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Overeenkomsten van opdracht en gerelateerde documenten met persoonsgegevens van bijvoorbeeld opdrachtgevers en opdrachtnemers </w:t>
            </w:r>
          </w:p>
        </w:tc>
        <w:tc>
          <w:tcPr>
            <w:tcW w:w="2880" w:type="dxa"/>
            <w:shd w:val="clear" w:color="auto" w:fill="auto"/>
          </w:tcPr>
          <w:p w14:paraId="78DD14D3" w14:textId="77777777" w:rsidR="00886A5D" w:rsidRPr="00886A5D" w:rsidRDefault="00886A5D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Min. vijf jaar </w:t>
            </w:r>
          </w:p>
          <w:p w14:paraId="5474EA0C" w14:textId="77777777" w:rsidR="00886A5D" w:rsidRPr="00886A5D" w:rsidRDefault="00886A5D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(in verband met aansprakelijkheid mogelijk 20 jaar) </w:t>
            </w:r>
          </w:p>
        </w:tc>
        <w:tc>
          <w:tcPr>
            <w:tcW w:w="2268" w:type="dxa"/>
            <w:shd w:val="clear" w:color="auto" w:fill="auto"/>
          </w:tcPr>
          <w:p w14:paraId="2443B0E4" w14:textId="77777777" w:rsidR="00886A5D" w:rsidRPr="00886A5D" w:rsidRDefault="00886A5D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De dag na beëindiging van de overeenkomst van opdracht ex artikel 7:400 BW e.v. </w:t>
            </w:r>
          </w:p>
        </w:tc>
      </w:tr>
      <w:tr w:rsidR="00886A5D" w:rsidRPr="00886A5D" w14:paraId="33847171" w14:textId="77777777" w:rsidTr="00886A5D">
        <w:tc>
          <w:tcPr>
            <w:tcW w:w="4032" w:type="dxa"/>
            <w:shd w:val="clear" w:color="auto" w:fill="auto"/>
          </w:tcPr>
          <w:p w14:paraId="37163F3C" w14:textId="77777777" w:rsidR="00886A5D" w:rsidRPr="00886A5D" w:rsidRDefault="00886A5D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Overige gegevens van klanten/cliënten en overige partijen </w:t>
            </w:r>
          </w:p>
        </w:tc>
        <w:tc>
          <w:tcPr>
            <w:tcW w:w="2880" w:type="dxa"/>
            <w:shd w:val="clear" w:color="auto" w:fill="auto"/>
          </w:tcPr>
          <w:p w14:paraId="6B84B41D" w14:textId="77777777" w:rsidR="00886A5D" w:rsidRPr="00886A5D" w:rsidRDefault="00886A5D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Niet langer dan noodzakelijk voor het voldoen aan de verwerkingsdoeleinden, een concrete bewaartermijn wordt niet gegeven in de AVG of andere wet- of regelgeving </w:t>
            </w:r>
          </w:p>
        </w:tc>
        <w:tc>
          <w:tcPr>
            <w:tcW w:w="2268" w:type="dxa"/>
            <w:shd w:val="clear" w:color="auto" w:fill="auto"/>
          </w:tcPr>
          <w:p w14:paraId="5CFEBC23" w14:textId="77777777" w:rsidR="00886A5D" w:rsidRPr="00886A5D" w:rsidRDefault="00886A5D" w:rsidP="00886A5D">
            <w:pPr>
              <w:rPr>
                <w:lang w:val="nl-NL"/>
              </w:rPr>
            </w:pPr>
            <w:r w:rsidRPr="00886A5D">
              <w:rPr>
                <w:lang w:val="nl-NL"/>
              </w:rPr>
              <w:t xml:space="preserve">N.v.t. </w:t>
            </w:r>
          </w:p>
        </w:tc>
      </w:tr>
    </w:tbl>
    <w:p w14:paraId="7B00D703" w14:textId="77777777" w:rsidR="008458EF" w:rsidRPr="008458EF" w:rsidRDefault="008458EF" w:rsidP="008458EF"/>
    <w:sectPr w:rsidR="008458EF" w:rsidRPr="008458EF">
      <w:pgSz w:w="11906" w:h="16838" w:code="9"/>
      <w:pgMar w:top="1247" w:right="1247" w:bottom="1247" w:left="1247" w:header="0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01ACA"/>
    <w:multiLevelType w:val="hybridMultilevel"/>
    <w:tmpl w:val="07906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4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nl-BE" w:vendorID="9" w:dllVersion="51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8EF"/>
    <w:rsid w:val="008458EF"/>
    <w:rsid w:val="00886A5D"/>
    <w:rsid w:val="009B3406"/>
    <w:rsid w:val="00C76B38"/>
    <w:rsid w:val="00C91019"/>
    <w:rsid w:val="00E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A20554"/>
  <w15:chartTrackingRefBased/>
  <w15:docId w15:val="{423A5C14-C93A-4D40-89A4-3DA78F8B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de-DE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odeltitle">
    <w:name w:val="model_title"/>
    <w:basedOn w:val="Standaard"/>
    <w:pPr>
      <w:suppressAutoHyphens/>
      <w:autoSpaceDE w:val="0"/>
      <w:autoSpaceDN w:val="0"/>
      <w:adjustRightInd w:val="0"/>
      <w:spacing w:after="850" w:line="320" w:lineRule="atLeast"/>
      <w:jc w:val="center"/>
      <w:textAlignment w:val="baseline"/>
    </w:pPr>
    <w:rPr>
      <w:rFonts w:ascii="Helvetica" w:hAnsi="Helvetica" w:cs="Helvetica"/>
      <w:caps/>
      <w:color w:val="000000"/>
      <w:sz w:val="22"/>
      <w:szCs w:val="22"/>
      <w:lang w:val="nl-NL"/>
    </w:rPr>
  </w:style>
  <w:style w:type="paragraph" w:customStyle="1" w:styleId="modelsubtitlebolditalic">
    <w:name w:val="model_subtitle_bold_italic"/>
    <w:basedOn w:val="Standaard"/>
    <w:pPr>
      <w:keepNext/>
      <w:suppressAutoHyphens/>
      <w:autoSpaceDE w:val="0"/>
      <w:autoSpaceDN w:val="0"/>
      <w:adjustRightInd w:val="0"/>
      <w:spacing w:before="340" w:after="170" w:line="260" w:lineRule="atLeast"/>
      <w:textAlignment w:val="baseline"/>
    </w:pPr>
    <w:rPr>
      <w:rFonts w:ascii="NewCenturySchlbk" w:hAnsi="NewCenturySchlbk"/>
      <w:b/>
      <w:bCs/>
      <w:i/>
      <w:iCs/>
      <w:color w:val="000000"/>
      <w:spacing w:val="-6"/>
      <w:sz w:val="19"/>
      <w:szCs w:val="19"/>
      <w:lang w:val="nl-NL"/>
    </w:rPr>
  </w:style>
  <w:style w:type="paragraph" w:customStyle="1" w:styleId="modelsubtitlebold">
    <w:name w:val="model_subtitle_bold"/>
    <w:basedOn w:val="modelsubtitlebolditalic"/>
    <w:pPr>
      <w:spacing w:before="283"/>
      <w:jc w:val="center"/>
    </w:pPr>
    <w:rPr>
      <w:rFonts w:ascii="Helvetica" w:hAnsi="Helvetica" w:cs="Helvetica"/>
      <w:i w:val="0"/>
      <w:iCs w:val="0"/>
      <w:caps/>
      <w:spacing w:val="-4"/>
      <w:sz w:val="20"/>
      <w:szCs w:val="20"/>
    </w:rPr>
  </w:style>
  <w:style w:type="paragraph" w:customStyle="1" w:styleId="modelsubtitleboldleft">
    <w:name w:val="model_subtitle_bold_left"/>
    <w:basedOn w:val="Standaard"/>
    <w:pPr>
      <w:suppressAutoHyphens/>
      <w:autoSpaceDE w:val="0"/>
      <w:autoSpaceDN w:val="0"/>
      <w:adjustRightInd w:val="0"/>
      <w:spacing w:before="113" w:after="113" w:line="240" w:lineRule="atLeast"/>
      <w:jc w:val="both"/>
      <w:textAlignment w:val="baseline"/>
    </w:pPr>
    <w:rPr>
      <w:rFonts w:ascii="NewCenturySchlbk" w:hAnsi="NewCenturySchlbk"/>
      <w:b/>
      <w:bCs/>
      <w:color w:val="000000"/>
      <w:spacing w:val="-2"/>
      <w:sz w:val="18"/>
      <w:szCs w:val="18"/>
      <w:lang w:val="nl-NL"/>
    </w:rPr>
  </w:style>
  <w:style w:type="paragraph" w:customStyle="1" w:styleId="modelsubtitleitalic">
    <w:name w:val="model_subtitle_italic"/>
    <w:basedOn w:val="Standaard"/>
    <w:pPr>
      <w:suppressAutoHyphens/>
      <w:autoSpaceDE w:val="0"/>
      <w:autoSpaceDN w:val="0"/>
      <w:adjustRightInd w:val="0"/>
      <w:spacing w:before="170" w:after="57" w:line="240" w:lineRule="atLeast"/>
      <w:jc w:val="both"/>
      <w:textAlignment w:val="baseline"/>
    </w:pPr>
    <w:rPr>
      <w:rFonts w:ascii="NewCenturySchlbk" w:hAnsi="NewCenturySchlbk"/>
      <w:i/>
      <w:iCs/>
      <w:color w:val="000000"/>
      <w:spacing w:val="-2"/>
      <w:sz w:val="17"/>
      <w:szCs w:val="17"/>
      <w:lang w:val="nl-NL"/>
    </w:rPr>
  </w:style>
  <w:style w:type="paragraph" w:customStyle="1" w:styleId="modeltext1">
    <w:name w:val="model_text_1"/>
    <w:basedOn w:val="Standaard"/>
    <w:pPr>
      <w:tabs>
        <w:tab w:val="left" w:pos="283"/>
        <w:tab w:val="center" w:leader="dot" w:pos="7483"/>
        <w:tab w:val="center" w:pos="7937"/>
      </w:tabs>
      <w:suppressAutoHyphens/>
      <w:autoSpaceDE w:val="0"/>
      <w:autoSpaceDN w:val="0"/>
      <w:adjustRightInd w:val="0"/>
      <w:spacing w:after="113" w:line="240" w:lineRule="atLeast"/>
      <w:ind w:left="283" w:hanging="283"/>
      <w:jc w:val="both"/>
      <w:textAlignment w:val="baseline"/>
    </w:pPr>
    <w:rPr>
      <w:rFonts w:ascii="NewCenturySchlbk" w:hAnsi="NewCenturySchlbk"/>
      <w:color w:val="000000"/>
      <w:spacing w:val="-2"/>
      <w:sz w:val="17"/>
      <w:szCs w:val="17"/>
      <w:lang w:val="nl-NL"/>
    </w:rPr>
  </w:style>
  <w:style w:type="paragraph" w:customStyle="1" w:styleId="modeltext11">
    <w:name w:val="model_text_1_1"/>
    <w:basedOn w:val="Standaard"/>
    <w:pPr>
      <w:tabs>
        <w:tab w:val="left" w:pos="850"/>
      </w:tabs>
      <w:suppressAutoHyphens/>
      <w:autoSpaceDE w:val="0"/>
      <w:autoSpaceDN w:val="0"/>
      <w:adjustRightInd w:val="0"/>
      <w:spacing w:after="113" w:line="240" w:lineRule="atLeast"/>
      <w:ind w:left="850" w:hanging="567"/>
      <w:jc w:val="both"/>
      <w:textAlignment w:val="baseline"/>
    </w:pPr>
    <w:rPr>
      <w:rFonts w:ascii="NewCenturySchlbk" w:hAnsi="NewCenturySchlbk"/>
      <w:color w:val="000000"/>
      <w:spacing w:val="-2"/>
      <w:sz w:val="17"/>
      <w:szCs w:val="17"/>
      <w:lang w:val="nl-NL"/>
    </w:rPr>
  </w:style>
  <w:style w:type="paragraph" w:customStyle="1" w:styleId="modeltext111">
    <w:name w:val="model_text_1_1_1"/>
    <w:basedOn w:val="Standaard"/>
    <w:pPr>
      <w:tabs>
        <w:tab w:val="left" w:pos="1701"/>
      </w:tabs>
      <w:suppressAutoHyphens/>
      <w:autoSpaceDE w:val="0"/>
      <w:autoSpaceDN w:val="0"/>
      <w:adjustRightInd w:val="0"/>
      <w:spacing w:after="57" w:line="240" w:lineRule="atLeast"/>
      <w:ind w:left="1701" w:hanging="850"/>
      <w:jc w:val="both"/>
      <w:textAlignment w:val="baseline"/>
    </w:pPr>
    <w:rPr>
      <w:rFonts w:ascii="NewCenturySchlbk" w:hAnsi="NewCenturySchlbk"/>
      <w:color w:val="000000"/>
      <w:spacing w:val="-2"/>
      <w:sz w:val="17"/>
      <w:szCs w:val="17"/>
      <w:lang w:val="nl-NL"/>
    </w:rPr>
  </w:style>
  <w:style w:type="paragraph" w:customStyle="1" w:styleId="modelnotetext">
    <w:name w:val="model_note_text"/>
    <w:basedOn w:val="Standaard"/>
    <w:pPr>
      <w:suppressAutoHyphens/>
      <w:autoSpaceDE w:val="0"/>
      <w:autoSpaceDN w:val="0"/>
      <w:adjustRightInd w:val="0"/>
      <w:spacing w:after="57" w:line="200" w:lineRule="atLeast"/>
      <w:textAlignment w:val="baseline"/>
    </w:pPr>
    <w:rPr>
      <w:rFonts w:ascii="NewCenturySchlbk" w:hAnsi="NewCenturySchlbk"/>
      <w:i/>
      <w:iCs/>
      <w:color w:val="000000"/>
      <w:spacing w:val="-2"/>
      <w:sz w:val="15"/>
      <w:szCs w:val="15"/>
      <w:lang w:val="en-GB"/>
    </w:rPr>
  </w:style>
  <w:style w:type="paragraph" w:customStyle="1" w:styleId="modeltext">
    <w:name w:val="model_text"/>
    <w:basedOn w:val="Standaard"/>
    <w:pPr>
      <w:suppressAutoHyphens/>
      <w:autoSpaceDE w:val="0"/>
      <w:autoSpaceDN w:val="0"/>
      <w:adjustRightInd w:val="0"/>
      <w:spacing w:after="113" w:line="240" w:lineRule="atLeast"/>
      <w:jc w:val="both"/>
      <w:textAlignment w:val="baseline"/>
    </w:pPr>
    <w:rPr>
      <w:rFonts w:ascii="NewCenturySchlbk" w:hAnsi="NewCenturySchlbk"/>
      <w:color w:val="000000"/>
      <w:spacing w:val="-2"/>
      <w:sz w:val="17"/>
      <w:szCs w:val="17"/>
      <w:lang w:val="nl-NL"/>
    </w:rPr>
  </w:style>
  <w:style w:type="paragraph" w:customStyle="1" w:styleId="21-Modelsubtitlebold">
    <w:name w:val="21 - Model_subtitle (bold)"/>
    <w:basedOn w:val="Standaard"/>
    <w:rsid w:val="008458EF"/>
    <w:pPr>
      <w:keepNext/>
      <w:tabs>
        <w:tab w:val="left" w:pos="794"/>
      </w:tabs>
      <w:suppressAutoHyphens/>
      <w:autoSpaceDE w:val="0"/>
      <w:spacing w:before="283" w:after="170" w:line="280" w:lineRule="atLeast"/>
      <w:ind w:left="397" w:hanging="397"/>
      <w:textAlignment w:val="center"/>
    </w:pPr>
    <w:rPr>
      <w:rFonts w:ascii="NewCenturySchlbk" w:hAnsi="NewCenturySchlbk"/>
      <w:b/>
      <w:bCs/>
      <w:color w:val="000000"/>
      <w:spacing w:val="-7"/>
      <w:sz w:val="22"/>
      <w:szCs w:val="22"/>
      <w:lang w:val="nl-NL" w:eastAsia="ar-SA"/>
    </w:rPr>
  </w:style>
  <w:style w:type="table" w:styleId="Tabelraster">
    <w:name w:val="Table Grid"/>
    <w:basedOn w:val="Standaardtabel"/>
    <w:uiPriority w:val="39"/>
    <w:rsid w:val="0084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B3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GB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B340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B3406"/>
    <w:rPr>
      <w:rFonts w:asciiTheme="majorHAnsi" w:eastAsiaTheme="majorEastAsia" w:hAnsiTheme="majorHAnsi" w:cstheme="majorBidi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199D-2875-4848-B4A0-D77DF53E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TITLE</vt:lpstr>
    </vt:vector>
  </TitlesOfParts>
  <Company>Indicator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TITLE</dc:title>
  <dc:subject/>
  <dc:creator>Admin</dc:creator>
  <cp:keywords/>
  <dc:description/>
  <cp:lastModifiedBy>Jos Raeskin</cp:lastModifiedBy>
  <cp:revision>2</cp:revision>
  <dcterms:created xsi:type="dcterms:W3CDTF">2022-11-30T18:42:00Z</dcterms:created>
  <dcterms:modified xsi:type="dcterms:W3CDTF">2022-11-30T18:42:00Z</dcterms:modified>
</cp:coreProperties>
</file>